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DC" w:rsidRDefault="00BC62DC" w:rsidP="00BC62DC">
      <w:pPr>
        <w:pStyle w:val="ConsPlusTitlePage"/>
      </w:pPr>
      <w:r>
        <w:t>Постановление Правительства МО от 28.06.2013 N 463/25</w:t>
      </w:r>
    </w:p>
    <w:p w:rsidR="00BC62DC" w:rsidRDefault="00BC62DC" w:rsidP="00BC62DC">
      <w:pPr>
        <w:pStyle w:val="ConsPlusTitlePage"/>
      </w:pPr>
      <w:r>
        <w:t>"Об утверждении предельных сроков заключения договоров на установку и эксплуатацию рекламных конструкций"</w:t>
      </w:r>
      <w:bookmarkStart w:id="0" w:name="_GoBack"/>
      <w:bookmarkEnd w:id="0"/>
      <w:r>
        <w:br/>
      </w:r>
    </w:p>
    <w:p w:rsidR="00BC62DC" w:rsidRDefault="00BC62DC">
      <w:pPr>
        <w:pStyle w:val="ConsPlusNormal"/>
        <w:jc w:val="both"/>
        <w:outlineLvl w:val="0"/>
      </w:pPr>
    </w:p>
    <w:p w:rsidR="00BC62DC" w:rsidRDefault="00BC62DC">
      <w:pPr>
        <w:pStyle w:val="ConsPlusTitle"/>
        <w:jc w:val="center"/>
        <w:outlineLvl w:val="0"/>
      </w:pPr>
      <w:r>
        <w:t>ПРАВИТЕЛЬСТВО МОСКОВСКОЙ ОБЛАСТИ</w:t>
      </w:r>
    </w:p>
    <w:p w:rsidR="00BC62DC" w:rsidRDefault="00BC62DC">
      <w:pPr>
        <w:pStyle w:val="ConsPlusTitle"/>
        <w:jc w:val="center"/>
      </w:pPr>
    </w:p>
    <w:p w:rsidR="00BC62DC" w:rsidRDefault="00BC62DC">
      <w:pPr>
        <w:pStyle w:val="ConsPlusTitle"/>
        <w:jc w:val="center"/>
      </w:pPr>
      <w:r>
        <w:t>ПОСТАНОВЛЕНИЕ</w:t>
      </w:r>
    </w:p>
    <w:p w:rsidR="00BC62DC" w:rsidRDefault="00BC62DC">
      <w:pPr>
        <w:pStyle w:val="ConsPlusTitle"/>
        <w:jc w:val="center"/>
      </w:pPr>
      <w:r>
        <w:t>от 28 июня 2013 г. N 463/25</w:t>
      </w:r>
    </w:p>
    <w:p w:rsidR="00BC62DC" w:rsidRDefault="00BC62DC">
      <w:pPr>
        <w:pStyle w:val="ConsPlusTitle"/>
        <w:jc w:val="center"/>
      </w:pPr>
    </w:p>
    <w:p w:rsidR="00BC62DC" w:rsidRDefault="00BC62DC">
      <w:pPr>
        <w:pStyle w:val="ConsPlusTitle"/>
        <w:jc w:val="center"/>
      </w:pPr>
      <w:r>
        <w:t>ОБ УТВЕРЖДЕНИИ ПРЕДЕЛЬНЫХ СРОКОВ ЗАКЛЮЧЕНИЯ ДОГОВОРОВ</w:t>
      </w:r>
    </w:p>
    <w:p w:rsidR="00BC62DC" w:rsidRDefault="00BC62DC">
      <w:pPr>
        <w:pStyle w:val="ConsPlusTitle"/>
        <w:jc w:val="center"/>
      </w:pPr>
      <w:r>
        <w:t>НА УСТАНОВКУ И ЭКСПЛУАТАЦИЮ РЕКЛАМНЫХ КОНСТРУКЦИЙ</w:t>
      </w: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ind w:firstLine="540"/>
        <w:jc w:val="both"/>
      </w:pPr>
      <w:r>
        <w:t xml:space="preserve">В целях оптимизации рекламного и информационного пространства и организации единого подхода, учета и контроля за установкой и эксплуатацией рекламных конструкций и средств размещения информации на территории Московской области,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13.03.2006 N 38-ФЗ "О рекламе" и </w:t>
      </w:r>
      <w:hyperlink r:id="rId5" w:history="1">
        <w:r>
          <w:rPr>
            <w:color w:val="0000FF"/>
          </w:rPr>
          <w:t>Законом</w:t>
        </w:r>
      </w:hyperlink>
      <w:r>
        <w:t xml:space="preserve"> Московской области N 230/2005-ОЗ "О Правительстве Московской области" Правительство Московской области постановляет: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 xml:space="preserve">1. Утвердить предельные </w:t>
      </w:r>
      <w:hyperlink w:anchor="P27" w:history="1">
        <w:r>
          <w:rPr>
            <w:color w:val="0000FF"/>
          </w:rPr>
          <w:t>сроки</w:t>
        </w:r>
      </w:hyperlink>
      <w:r>
        <w:t>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демонстраций рекламы (прилагаются).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3. Главному управлению по информационной политике Московской области опубликовать настоящее постановление в газете "Ежедневные новости. Подмосковье".</w:t>
      </w: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right"/>
      </w:pPr>
      <w:r>
        <w:t>Временно исполняющий обязанности</w:t>
      </w:r>
    </w:p>
    <w:p w:rsidR="00BC62DC" w:rsidRDefault="00BC62DC">
      <w:pPr>
        <w:pStyle w:val="ConsPlusNormal"/>
        <w:jc w:val="right"/>
      </w:pPr>
      <w:r>
        <w:t>Губернатора Московской области</w:t>
      </w:r>
    </w:p>
    <w:p w:rsidR="00BC62DC" w:rsidRDefault="00BC62DC">
      <w:pPr>
        <w:pStyle w:val="ConsPlusNormal"/>
        <w:jc w:val="right"/>
      </w:pPr>
      <w:r>
        <w:t>А.Ю. Воробьев</w:t>
      </w: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right"/>
        <w:outlineLvl w:val="0"/>
      </w:pPr>
      <w:r>
        <w:t>Утверждены</w:t>
      </w:r>
    </w:p>
    <w:p w:rsidR="00BC62DC" w:rsidRDefault="00BC62DC">
      <w:pPr>
        <w:pStyle w:val="ConsPlusNormal"/>
        <w:jc w:val="right"/>
      </w:pPr>
      <w:r>
        <w:t>постановлением Правительства</w:t>
      </w:r>
    </w:p>
    <w:p w:rsidR="00BC62DC" w:rsidRDefault="00BC62DC">
      <w:pPr>
        <w:pStyle w:val="ConsPlusNormal"/>
        <w:jc w:val="right"/>
      </w:pPr>
      <w:r>
        <w:t>Московской области</w:t>
      </w:r>
    </w:p>
    <w:p w:rsidR="00BC62DC" w:rsidRDefault="00BC62DC">
      <w:pPr>
        <w:pStyle w:val="ConsPlusNormal"/>
        <w:jc w:val="right"/>
      </w:pPr>
      <w:r>
        <w:t>от 28 июня 2013 г. N 463/25</w:t>
      </w: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Title"/>
        <w:jc w:val="center"/>
      </w:pPr>
      <w:bookmarkStart w:id="1" w:name="P27"/>
      <w:bookmarkEnd w:id="1"/>
      <w:r>
        <w:t>ПРЕДЕЛЬНЫЕ СРОКИ,</w:t>
      </w:r>
    </w:p>
    <w:p w:rsidR="00BC62DC" w:rsidRDefault="00BC62DC">
      <w:pPr>
        <w:pStyle w:val="ConsPlusTitle"/>
        <w:jc w:val="center"/>
      </w:pPr>
      <w:r>
        <w:t>НА КОТОРЫЕ МОГУТ ЗАКЛЮЧАТЬСЯ ДОГОВОРЫ НА УСТАНОВКУ</w:t>
      </w:r>
    </w:p>
    <w:p w:rsidR="00BC62DC" w:rsidRDefault="00BC62DC">
      <w:pPr>
        <w:pStyle w:val="ConsPlusTitle"/>
        <w:jc w:val="center"/>
      </w:pPr>
      <w:r>
        <w:t>И ЭКСПЛУАТАЦИЮ РЕКЛАМНЫХ КОНСТРУКЦИЙ, В ЗАВИСИМОСТИ ОТ ТИПОВ</w:t>
      </w:r>
    </w:p>
    <w:p w:rsidR="00BC62DC" w:rsidRDefault="00BC62DC">
      <w:pPr>
        <w:pStyle w:val="ConsPlusTitle"/>
        <w:jc w:val="center"/>
      </w:pPr>
      <w:r>
        <w:t>И ВИДОВ РЕКЛАМНЫХ КОНСТРУКЦИЙ И ПРИМЕНЯЕМЫХ ТЕХНОЛОГИЙ</w:t>
      </w:r>
    </w:p>
    <w:p w:rsidR="00BC62DC" w:rsidRDefault="00BC62DC">
      <w:pPr>
        <w:pStyle w:val="ConsPlusTitle"/>
        <w:jc w:val="center"/>
      </w:pPr>
      <w:r>
        <w:t>ДЕМОНСТРАЦИЙ РЕКЛАМЫ</w:t>
      </w:r>
    </w:p>
    <w:p w:rsidR="00BC62DC" w:rsidRDefault="00BC62DC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52"/>
        <w:gridCol w:w="5246"/>
        <w:gridCol w:w="2196"/>
      </w:tblGrid>
      <w:tr w:rsidR="00BC62DC">
        <w:trPr>
          <w:trHeight w:val="251"/>
        </w:trPr>
        <w:tc>
          <w:tcPr>
            <w:tcW w:w="1952" w:type="dxa"/>
          </w:tcPr>
          <w:p w:rsidR="00BC62DC" w:rsidRDefault="00BC62DC">
            <w:pPr>
              <w:pStyle w:val="ConsPlusNonformat"/>
              <w:jc w:val="both"/>
            </w:pPr>
            <w:r>
              <w:t>Виды рекламных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конструкций   </w:t>
            </w:r>
          </w:p>
        </w:tc>
        <w:tc>
          <w:tcPr>
            <w:tcW w:w="5246" w:type="dxa"/>
          </w:tcPr>
          <w:p w:rsidR="00BC62DC" w:rsidRDefault="00BC62DC">
            <w:pPr>
              <w:pStyle w:val="ConsPlusNonformat"/>
              <w:jc w:val="both"/>
            </w:pPr>
            <w:r>
              <w:t xml:space="preserve">Типы рекламных конструкций               </w:t>
            </w:r>
          </w:p>
        </w:tc>
        <w:tc>
          <w:tcPr>
            <w:tcW w:w="2196" w:type="dxa"/>
          </w:tcPr>
          <w:p w:rsidR="00BC62DC" w:rsidRDefault="00BC62DC">
            <w:pPr>
              <w:pStyle w:val="ConsPlusNonformat"/>
              <w:jc w:val="both"/>
            </w:pPr>
            <w:r>
              <w:t xml:space="preserve">Предельный срок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действия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договоров на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установку и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эксплуатацию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рекламных       </w:t>
            </w:r>
          </w:p>
          <w:p w:rsidR="00BC62DC" w:rsidRDefault="00BC62DC">
            <w:pPr>
              <w:pStyle w:val="ConsPlusNonformat"/>
              <w:jc w:val="both"/>
            </w:pPr>
            <w:r>
              <w:t>конструкций, лет</w:t>
            </w:r>
          </w:p>
        </w:tc>
      </w:tr>
      <w:tr w:rsidR="00BC62DC">
        <w:trPr>
          <w:trHeight w:val="251"/>
        </w:trPr>
        <w:tc>
          <w:tcPr>
            <w:tcW w:w="1952" w:type="dxa"/>
            <w:vMerge w:val="restart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отдельно      </w:t>
            </w:r>
          </w:p>
          <w:p w:rsidR="00BC62DC" w:rsidRDefault="00BC62DC">
            <w:pPr>
              <w:pStyle w:val="ConsPlusNonformat"/>
              <w:jc w:val="both"/>
            </w:pPr>
            <w:r>
              <w:lastRenderedPageBreak/>
              <w:t xml:space="preserve">стоящие       </w:t>
            </w:r>
          </w:p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lastRenderedPageBreak/>
              <w:t xml:space="preserve">щиты со стационарной поверхностью с      </w:t>
            </w:r>
          </w:p>
          <w:p w:rsidR="00BC62DC" w:rsidRDefault="00BC62DC">
            <w:pPr>
              <w:pStyle w:val="ConsPlusNonformat"/>
              <w:jc w:val="both"/>
            </w:pPr>
            <w:r>
              <w:lastRenderedPageBreak/>
              <w:t xml:space="preserve">внешним подсветом или без подсвета;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перетяжки;                               </w:t>
            </w:r>
          </w:p>
          <w:p w:rsidR="00BC62DC" w:rsidRDefault="00BC62DC">
            <w:pPr>
              <w:pStyle w:val="ConsPlusNonformat"/>
              <w:jc w:val="both"/>
            </w:pPr>
            <w:proofErr w:type="spellStart"/>
            <w:r>
              <w:t>флаговые</w:t>
            </w:r>
            <w:proofErr w:type="spellEnd"/>
            <w:r>
              <w:t xml:space="preserve"> композиции; 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реклама на пешеходных ограждениях      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lastRenderedPageBreak/>
              <w:t xml:space="preserve">        5       </w:t>
            </w:r>
          </w:p>
        </w:tc>
      </w:tr>
      <w:tr w:rsidR="00BC62DC">
        <w:tc>
          <w:tcPr>
            <w:tcW w:w="1830" w:type="dxa"/>
            <w:vMerge/>
            <w:tcBorders>
              <w:top w:val="nil"/>
            </w:tcBorders>
          </w:tcPr>
          <w:p w:rsidR="00BC62DC" w:rsidRDefault="00BC62DC"/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щиты со стационарной поверхностью с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внутренним подсветом;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объемно-пространственные объекты       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 7       </w:t>
            </w:r>
          </w:p>
        </w:tc>
      </w:tr>
      <w:tr w:rsidR="00BC62DC">
        <w:tc>
          <w:tcPr>
            <w:tcW w:w="1830" w:type="dxa"/>
            <w:vMerge/>
            <w:tcBorders>
              <w:top w:val="nil"/>
            </w:tcBorders>
          </w:tcPr>
          <w:p w:rsidR="00BC62DC" w:rsidRDefault="00BC62DC"/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щиты с автоматической сменой экспозиции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 8       </w:t>
            </w:r>
          </w:p>
        </w:tc>
      </w:tr>
      <w:tr w:rsidR="00BC62DC">
        <w:tc>
          <w:tcPr>
            <w:tcW w:w="1830" w:type="dxa"/>
            <w:vMerge/>
            <w:tcBorders>
              <w:top w:val="nil"/>
            </w:tcBorders>
          </w:tcPr>
          <w:p w:rsidR="00BC62DC" w:rsidRDefault="00BC62DC"/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электронные табло;   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рекламные конструкции, совмещенные с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элементами уличной мебели;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рекламные конструкции в составе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остановочных пунктов движения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общественного транспорта               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10       </w:t>
            </w:r>
          </w:p>
        </w:tc>
      </w:tr>
      <w:tr w:rsidR="00BC62DC">
        <w:trPr>
          <w:trHeight w:val="251"/>
        </w:trPr>
        <w:tc>
          <w:tcPr>
            <w:tcW w:w="1952" w:type="dxa"/>
            <w:vMerge w:val="restart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на зданиях и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сооружениях   </w:t>
            </w:r>
          </w:p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щиты со стационарной поверхностью с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внешним подсветом или без подсвета;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перетяжки;                               </w:t>
            </w:r>
          </w:p>
          <w:p w:rsidR="00BC62DC" w:rsidRDefault="00BC62DC">
            <w:pPr>
              <w:pStyle w:val="ConsPlusNonformat"/>
              <w:jc w:val="both"/>
            </w:pPr>
            <w:proofErr w:type="spellStart"/>
            <w:r>
              <w:t>флаговые</w:t>
            </w:r>
            <w:proofErr w:type="spellEnd"/>
            <w:r>
              <w:t xml:space="preserve"> композиции; 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панель-кронштейны                      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 5       </w:t>
            </w:r>
          </w:p>
        </w:tc>
      </w:tr>
      <w:tr w:rsidR="00BC62DC">
        <w:tc>
          <w:tcPr>
            <w:tcW w:w="1830" w:type="dxa"/>
            <w:vMerge/>
            <w:tcBorders>
              <w:top w:val="nil"/>
            </w:tcBorders>
          </w:tcPr>
          <w:p w:rsidR="00BC62DC" w:rsidRDefault="00BC62DC"/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щиты со стационарной поверхностью с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внутренним подсветом;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объемно-пространственные объекты       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 7       </w:t>
            </w:r>
          </w:p>
        </w:tc>
      </w:tr>
      <w:tr w:rsidR="00BC62DC">
        <w:tc>
          <w:tcPr>
            <w:tcW w:w="1830" w:type="dxa"/>
            <w:vMerge/>
            <w:tcBorders>
              <w:top w:val="nil"/>
            </w:tcBorders>
          </w:tcPr>
          <w:p w:rsidR="00BC62DC" w:rsidRDefault="00BC62DC"/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>щиты с автоматической сменной экспозицией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 8       </w:t>
            </w:r>
          </w:p>
        </w:tc>
      </w:tr>
      <w:tr w:rsidR="00BC62DC">
        <w:tc>
          <w:tcPr>
            <w:tcW w:w="1830" w:type="dxa"/>
            <w:vMerge/>
            <w:tcBorders>
              <w:top w:val="nil"/>
            </w:tcBorders>
          </w:tcPr>
          <w:p w:rsidR="00BC62DC" w:rsidRDefault="00BC62DC"/>
        </w:tc>
        <w:tc>
          <w:tcPr>
            <w:tcW w:w="524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электронные табло;   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медиафасады;                 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рекламные конструкции в составе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остановочных пунктов движения            </w:t>
            </w:r>
          </w:p>
          <w:p w:rsidR="00BC62DC" w:rsidRDefault="00BC62DC">
            <w:pPr>
              <w:pStyle w:val="ConsPlusNonformat"/>
              <w:jc w:val="both"/>
            </w:pPr>
            <w:r>
              <w:t xml:space="preserve">общественного транспорта                 </w:t>
            </w:r>
          </w:p>
        </w:tc>
        <w:tc>
          <w:tcPr>
            <w:tcW w:w="2196" w:type="dxa"/>
            <w:tcBorders>
              <w:top w:val="nil"/>
            </w:tcBorders>
          </w:tcPr>
          <w:p w:rsidR="00BC62DC" w:rsidRDefault="00BC62DC">
            <w:pPr>
              <w:pStyle w:val="ConsPlusNonformat"/>
              <w:jc w:val="both"/>
            </w:pPr>
            <w:r>
              <w:t xml:space="preserve">       10       </w:t>
            </w:r>
          </w:p>
        </w:tc>
      </w:tr>
    </w:tbl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ind w:firstLine="540"/>
        <w:jc w:val="both"/>
      </w:pPr>
      <w:r>
        <w:t>Примечание: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1. Щитовые установки - рекламные конструкции, имеющие плоскостные внешние поверхности для размещения информации, состоящие из каркаса и информационного поля.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2. Перетяжки - рекламные конструкции, состоящие из отдельно стоящих опор, тросовых конструкций и информационного поля. Возможно крепление тросовых конструкций к зданиям и сооружениям. Информационное поле может быть выполнено из жестких материалов, из материалов на мягкой основе, иметь световое оформление, в том числе гирлянды.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Флаговые</w:t>
      </w:r>
      <w:proofErr w:type="spellEnd"/>
      <w:r>
        <w:t xml:space="preserve"> композиции - рекламные конструкции, состоящие из одного или нескольких флагштоков (стоек) и информационного поля с использованием мягких полотнищ.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4. Объемно-пространственные объекты - рекламные конструкции, на которых для распространения информации используется как объем объекта, так и его поверхность, выполняются по индивидуальным проектам.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5. Электронные табло - рекламные конструкции, состоящие из каркаса и имеющие поверхность, предназначенную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6. Рекламные конструкции, совмещенные с элементами уличной мебели, - рекламные конструкции на таксофонных кабинах, парковых скамейках, уличных терминалах оплаты, мусорных контейнерах и т.д. - рекламные конструкции с информационной поверхностью, размещаемой на предназначенных для размещения рекламы элементах уличной мебели.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7. Рекламные конструкции в составе остановочных пунктов движения общественного транспорта - рекламные конструкции с информационной поверхностью, размещаемой на элементах остановочных пунктов, предназначенных для использования под рекламу.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8. Панель-кронштейны - двухсторонние консольные плоскостные рекламные конструкции, устанавливаемые на опорах (мачтах-опорах освещения, опорах контактной сети) или на зданиях (сооружениях), состоящие из креплений и информационной поверхности, расположенной на световом коробе.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9. Медиафасады - объекты наружной рекламы и информации, присоединяемые к зданиям и сооружениям и имеющие поверхность, предназначенную для воспроизведения изображения за счет светоизлучения светодиодов, ламп, иных источников света или светоотражающих элементов.</w:t>
      </w:r>
    </w:p>
    <w:p w:rsidR="00BC62DC" w:rsidRDefault="00BC62DC">
      <w:pPr>
        <w:pStyle w:val="ConsPlusNormal"/>
        <w:spacing w:before="220"/>
        <w:ind w:firstLine="540"/>
        <w:jc w:val="both"/>
      </w:pPr>
      <w:r>
        <w:t>10. Проекционные установки - рекламные конструкции, предназначенные для воспроизведения изображения на земле, на плоскостях стен и в объеме, состоят из проецирующего устройства и поверхности (экрана) или объема, в котором формируется информационное изображение.</w:t>
      </w: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jc w:val="both"/>
      </w:pPr>
    </w:p>
    <w:p w:rsidR="00BC62DC" w:rsidRDefault="00BC62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82C" w:rsidRDefault="0061182C"/>
    <w:sectPr w:rsidR="0061182C" w:rsidSect="0029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DC"/>
    <w:rsid w:val="000F084C"/>
    <w:rsid w:val="004B39C4"/>
    <w:rsid w:val="004D0897"/>
    <w:rsid w:val="0061182C"/>
    <w:rsid w:val="00746DC9"/>
    <w:rsid w:val="00BC62DC"/>
    <w:rsid w:val="00F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3AC7-B279-4207-8C6F-E621E5F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2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6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2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BDDF58CDA3B4D8B185D01FF96D1401DCADD92ABD0DA96F80E9D2F87BABDFB6443210796D5D8BECA90EC7BF365DCBB5AF9F7FD97FACD765cFECJ" TargetMode="External"/><Relationship Id="rId4" Type="http://schemas.openxmlformats.org/officeDocument/2006/relationships/hyperlink" Target="consultantplus://offline/ref=0EBDDF58CDA3B4D8B185D111EC6D1401DDA6DD2ABC0EA96F80E9D2F87BABDFB6443210796D5D89ECAE0EC7BF365DCBB5AF9F7FD97FACD765cF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SERGUNINAGV</dc:creator>
  <cp:keywords/>
  <dc:description/>
  <cp:lastModifiedBy>SERGUNINAGV</cp:lastModifiedBy>
  <cp:revision>1</cp:revision>
  <dcterms:created xsi:type="dcterms:W3CDTF">2019-06-13T09:04:00Z</dcterms:created>
  <dcterms:modified xsi:type="dcterms:W3CDTF">2019-06-13T09:05:00Z</dcterms:modified>
</cp:coreProperties>
</file>